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CF0EFC" w:rsidRPr="00CB6072" w:rsidP="00CF0EFC">
      <w:pPr>
        <w:rPr>
          <w:rFonts w:ascii="Arial" w:hAnsi="Arial" w:cs="Arial"/>
          <w:b/>
          <w:sz w:val="24"/>
          <w:szCs w:val="24"/>
        </w:rPr>
      </w:pPr>
      <w:r w:rsidRPr="00CB6072">
        <w:rPr>
          <w:rFonts w:ascii="Arial" w:hAnsi="Arial" w:cs="Arial"/>
          <w:b/>
          <w:sz w:val="24"/>
          <w:szCs w:val="24"/>
        </w:rPr>
        <w:t>Financial Information</w:t>
      </w:r>
    </w:p>
    <w:tbl>
      <w:tblPr>
        <w:tblStyle w:val="TableGrid"/>
        <w:tblpPr w:leftFromText="180" w:rightFromText="180" w:vertAnchor="page" w:horzAnchor="margin" w:tblpY="1062"/>
        <w:tblW w:w="9209" w:type="dxa"/>
        <w:tblLayout w:type="fixed"/>
        <w:tblLook w:val="04A0"/>
      </w:tblPr>
      <w:tblGrid>
        <w:gridCol w:w="2972"/>
        <w:gridCol w:w="1559"/>
        <w:gridCol w:w="1843"/>
        <w:gridCol w:w="2835"/>
      </w:tblGrid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231D">
              <w:rPr>
                <w:rFonts w:ascii="Arial" w:hAnsi="Arial" w:cs="Arial"/>
                <w:b/>
                <w:sz w:val="24"/>
                <w:szCs w:val="24"/>
              </w:rPr>
              <w:t xml:space="preserve"> month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Cost (est.)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197,600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32,9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3,800</w:t>
            </w:r>
            <w:r w:rsidRPr="00FB231D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Revenue (est.)</w:t>
            </w:r>
          </w:p>
        </w:tc>
        <w:tc>
          <w:tcPr>
            <w:tcW w:w="1559" w:type="dxa"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220,000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£36,700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Projections from the current service between Jul 17 and Nov 17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Estimated </w:t>
            </w: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>Net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Income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FB231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22,400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FB231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3,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64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>SITE MANAGEMENT COSTS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Business Rates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49,000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E40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Pr="00FB231D">
              <w:rPr>
                <w:rFonts w:ascii="Arial" w:hAnsi="Arial" w:cs="Arial"/>
                <w:sz w:val="24"/>
                <w:szCs w:val="24"/>
              </w:rPr>
              <w:t>13,000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E40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be reduced*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426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has been disconnected</w:t>
            </w:r>
            <w:r w:rsidRPr="00FB231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Estimated</w:t>
            </w: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>ost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62,000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LIKELY </w:t>
            </w: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>COSTS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Gritting Standby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450E5B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E5B">
              <w:rPr>
                <w:rFonts w:ascii="Arial" w:hAnsi="Arial" w:cs="Arial"/>
                <w:b/>
                <w:sz w:val="24"/>
                <w:szCs w:val="24"/>
              </w:rPr>
              <w:t>£2,000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450E5B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330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 xml:space="preserve">Estimate </w:t>
            </w:r>
            <w:r w:rsidRPr="00FB231D">
              <w:rPr>
                <w:rFonts w:ascii="Arial" w:hAnsi="Arial" w:cs="Arial"/>
                <w:sz w:val="24"/>
                <w:szCs w:val="24"/>
              </w:rPr>
              <w:t>based on 16/17 costs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Grit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450E5B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E5B">
              <w:rPr>
                <w:rFonts w:ascii="Arial" w:hAnsi="Arial" w:cs="Arial"/>
                <w:b/>
                <w:sz w:val="24"/>
                <w:szCs w:val="24"/>
              </w:rPr>
              <w:t>£1,100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450E5B" w:rsidP="00E33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£180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Estimate based on 16/17 costs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POTENTIAL FUTURE</w:t>
            </w:r>
            <w:r w:rsidRPr="00FB2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COSTS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General Repairs/Maintenance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Required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Major Maintenance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Required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Removal of Travellers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>Last incident cost £6k</w:t>
            </w: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9F5DF4">
        <w:tblPrEx>
          <w:tblW w:w="9209" w:type="dxa"/>
          <w:tblLayout w:type="fixed"/>
          <w:tblLook w:val="04A0"/>
        </w:tblPrEx>
        <w:trPr>
          <w:trHeight w:val="300"/>
        </w:trPr>
        <w:tc>
          <w:tcPr>
            <w:tcW w:w="2972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31D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Estimated Net</w:t>
            </w:r>
            <w:r w:rsidRPr="00FB231D">
              <w:rPr>
                <w:rFonts w:ascii="Arial" w:hAnsi="Arial" w:cs="Arial"/>
                <w:sz w:val="24"/>
                <w:szCs w:val="24"/>
              </w:rPr>
              <w:t xml:space="preserve"> Cost</w:t>
            </w:r>
          </w:p>
        </w:tc>
        <w:tc>
          <w:tcPr>
            <w:tcW w:w="1559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£42,700</w:t>
            </w:r>
          </w:p>
        </w:tc>
        <w:tc>
          <w:tcPr>
            <w:tcW w:w="1843" w:type="dxa"/>
            <w:noWrap/>
            <w:vAlign w:val="center"/>
            <w:hideMark/>
          </w:tcPr>
          <w:p w:rsidR="00CF0EFC" w:rsidRPr="00FB231D" w:rsidP="00E40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31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7,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noWrap/>
            <w:vAlign w:val="center"/>
            <w:hideMark/>
          </w:tcPr>
          <w:p w:rsidR="00CF0EFC" w:rsidRPr="00FB231D" w:rsidP="00CF0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EFC" w:rsidP="00CF0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DF4" w:rsidP="009F5DF4">
      <w:pPr>
        <w:rPr>
          <w:rFonts w:ascii="Arial" w:hAnsi="Arial" w:cs="Arial"/>
          <w:sz w:val="24"/>
          <w:szCs w:val="24"/>
          <w:u w:val="single"/>
        </w:rPr>
      </w:pPr>
      <w:r w:rsidRPr="00FB231D">
        <w:rPr>
          <w:rFonts w:ascii="Arial" w:hAnsi="Arial" w:cs="Arial"/>
          <w:sz w:val="24"/>
          <w:szCs w:val="24"/>
        </w:rPr>
        <w:t xml:space="preserve">* </w:t>
      </w:r>
      <w:r w:rsidRPr="00FB231D">
        <w:rPr>
          <w:rFonts w:ascii="Arial" w:hAnsi="Arial" w:cs="Arial"/>
          <w:sz w:val="24"/>
          <w:szCs w:val="24"/>
          <w:u w:val="single"/>
        </w:rPr>
        <w:t>Electricity</w:t>
      </w:r>
    </w:p>
    <w:p w:rsidR="00CF0EFC" w:rsidRPr="009F5DF4" w:rsidP="009F5DF4">
      <w:pPr>
        <w:rPr>
          <w:rFonts w:ascii="Arial" w:hAnsi="Arial" w:cs="Arial"/>
          <w:sz w:val="24"/>
          <w:szCs w:val="24"/>
          <w:u w:val="single"/>
        </w:rPr>
      </w:pPr>
      <w:r w:rsidRPr="00FB231D">
        <w:rPr>
          <w:rFonts w:ascii="Arial" w:hAnsi="Arial" w:cs="Arial"/>
          <w:sz w:val="24"/>
          <w:szCs w:val="24"/>
        </w:rPr>
        <w:t>Currently the lighting columns and lamps on the Walton-Le-Dale site are very inefficient and could be replaced with LED lights which would generate a saving. It is estimated that this could produce savings</w:t>
      </w:r>
      <w:r w:rsidRPr="00FB231D">
        <w:rPr>
          <w:rFonts w:ascii="Arial" w:hAnsi="Arial" w:cs="Arial"/>
          <w:sz w:val="24"/>
          <w:szCs w:val="24"/>
        </w:rPr>
        <w:t xml:space="preserve"> of approximately 70%. This would represent an approximate saving of £9,1</w:t>
      </w:r>
      <w:r>
        <w:rPr>
          <w:rFonts w:ascii="Arial" w:hAnsi="Arial" w:cs="Arial"/>
          <w:sz w:val="24"/>
          <w:szCs w:val="24"/>
        </w:rPr>
        <w:t xml:space="preserve">00 per year on current charges but would require an initial capital outlay. </w:t>
      </w:r>
    </w:p>
    <w:p w:rsidR="00CF0EFC" w:rsidRPr="00FB231D" w:rsidP="00CF0EFC">
      <w:pPr>
        <w:rPr>
          <w:rFonts w:ascii="Arial" w:hAnsi="Arial" w:cs="Arial"/>
          <w:sz w:val="24"/>
          <w:szCs w:val="24"/>
          <w:u w:val="single"/>
        </w:rPr>
      </w:pPr>
      <w:r w:rsidRPr="00FB231D">
        <w:rPr>
          <w:rFonts w:ascii="Arial" w:hAnsi="Arial" w:cs="Arial"/>
          <w:sz w:val="24"/>
          <w:szCs w:val="24"/>
        </w:rPr>
        <w:t xml:space="preserve">** </w:t>
      </w:r>
      <w:r w:rsidRPr="00FB231D">
        <w:rPr>
          <w:rFonts w:ascii="Arial" w:hAnsi="Arial" w:cs="Arial"/>
          <w:sz w:val="24"/>
          <w:szCs w:val="24"/>
          <w:u w:val="single"/>
        </w:rPr>
        <w:t>Water</w:t>
      </w:r>
    </w:p>
    <w:p w:rsidR="00CF0EFC" w:rsidRPr="009F5DF4" w:rsidP="009F5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last Cabinet report in July 2017 the office building has been completely shut off, the </w:t>
      </w:r>
      <w:r>
        <w:rPr>
          <w:rFonts w:ascii="Arial" w:hAnsi="Arial" w:cs="Arial"/>
          <w:sz w:val="24"/>
          <w:szCs w:val="24"/>
        </w:rPr>
        <w:t>toilet facilities on site have been closed and the water supply stopped up.  There should be no further water costs.</w:t>
      </w:r>
      <w:bookmarkStart w:id="0" w:name="_GoBack"/>
      <w:bookmarkEnd w:id="0"/>
    </w:p>
    <w:sectPr w:rsidSect="00CF0EFC">
      <w:footerReference w:type="default" r:id="rId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B8A">
    <w:pPr>
      <w:pStyle w:val="Footer"/>
      <w:jc w:val="center"/>
    </w:pPr>
  </w:p>
  <w:p w:rsidR="00426B8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5D"/>
  </w:style>
  <w:style w:type="paragraph" w:styleId="Footer">
    <w:name w:val="footer"/>
    <w:basedOn w:val="Normal"/>
    <w:link w:val="FooterChar"/>
    <w:uiPriority w:val="99"/>
    <w:unhideWhenUsed/>
    <w:rsid w:val="00370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5D"/>
  </w:style>
  <w:style w:type="paragraph" w:styleId="BalloonText">
    <w:name w:val="Balloon Text"/>
    <w:basedOn w:val="Normal"/>
    <w:link w:val="BalloonTextChar"/>
    <w:uiPriority w:val="99"/>
    <w:semiHidden/>
    <w:unhideWhenUsed/>
    <w:rsid w:val="009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 Greg</dc:creator>
  <cp:lastModifiedBy>Maya Evenson</cp:lastModifiedBy>
  <cp:revision>6</cp:revision>
  <cp:lastPrinted>2017-11-07T10:31:00Z</cp:lastPrinted>
  <dcterms:created xsi:type="dcterms:W3CDTF">2017-11-09T12:36:00Z</dcterms:created>
  <dcterms:modified xsi:type="dcterms:W3CDTF">2017-11-17T14:02:00Z</dcterms:modified>
</cp:coreProperties>
</file>